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bookmarkStart w:id="26" w:name="_GoBack"/>
      <w:bookmarkEnd w:id="26"/>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十二</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12</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800089"/>
      <w:bookmarkStart w:id="2" w:name="_Toc17800307"/>
      <w:bookmarkStart w:id="3" w:name="_Toc17799732"/>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采购项目（十二）</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12</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27</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 xml:space="preserve"> 月 </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 xml:space="preserve"> 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799797"/>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693"/>
        <w:gridCol w:w="1782"/>
        <w:gridCol w:w="1549"/>
        <w:gridCol w:w="1155"/>
        <w:gridCol w:w="750"/>
        <w:gridCol w:w="990"/>
        <w:gridCol w:w="1303"/>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一次性使用无菌透析护理包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江西洪达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HLB-B(内瘘包）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2700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6.5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上机包：外包治疗巾一张、一次性透明弯盘1个、治疗巾50*50cm 1张、乳胶检查翻腕手套S码1双、消毒棉签1袋（含10根碘伏棉签）、输液贴2片、胶布8条、止血带1条</w:t>
            </w:r>
          </w:p>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p>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下机包：乳胶检查翻腕手套S码1双、消毒棉签1袋（含6根碘伏棉签）、输液贴两片、胶布4条、专用穿刺压力球2个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清洗棒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CleanCart 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适用AK98和ARTIS透析装置水路消毒。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u w:val="none"/>
                <w:lang w:val="en-US" w:eastAsia="zh-CN" w:bidi="ar"/>
              </w:rPr>
              <w:t>清洗棒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cs="宋体"/>
                <w:sz w:val="20"/>
                <w:szCs w:val="20"/>
                <w:lang w:val="en-US" w:eastAsia="zh-CN"/>
              </w:rPr>
              <w:t>CleanCart 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适用AK98和ARTIS透析装置水路消毒。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一次性使用带滤器补液装置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sz w:val="20"/>
                <w:szCs w:val="20"/>
                <w:lang w:val="en-US" w:eastAsia="zh-CN"/>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ULTRA HDF Line</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适用AK98和ARTIS透析机。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超滤器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lang w:val="en-US" w:eastAsia="zh-CN"/>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U9000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适用AK98和ARTIS透析机。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一次性使用血液透析管路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cs="宋体"/>
                <w:sz w:val="20"/>
                <w:szCs w:val="20"/>
                <w:lang w:val="en-US" w:eastAsia="zh-CN"/>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ARTISET PREPOST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yellow"/>
                <w:u w:val="none"/>
                <w:lang w:val="en-US" w:eastAsia="zh-CN" w:bidi="ar-SA"/>
              </w:rPr>
            </w:pPr>
            <w:r>
              <w:rPr>
                <w:rFonts w:hint="eastAsia" w:ascii="宋体" w:hAnsi="宋体" w:cs="宋体"/>
                <w:i w:val="0"/>
                <w:iCs w:val="0"/>
                <w:color w:val="auto"/>
                <w:kern w:val="2"/>
                <w:sz w:val="20"/>
                <w:szCs w:val="20"/>
                <w:highlight w:val="none"/>
                <w:u w:val="none"/>
                <w:lang w:val="en-US" w:eastAsia="zh-CN" w:bidi="ar-SA"/>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适用AK98和ARTIS透析机。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金属骨针</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(克氏针)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上海浦东金环医疗用品股份有限公司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0.8*230；</w:t>
            </w:r>
          </w:p>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1.0*230；1.2*230；1.5*230；</w:t>
            </w:r>
          </w:p>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2.0*230；</w:t>
            </w:r>
          </w:p>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3.0*230；3.5*230；</w:t>
            </w:r>
          </w:p>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4.0*230</w:t>
            </w:r>
            <w:r>
              <w:rPr>
                <w:rFonts w:hint="eastAsia" w:ascii="宋体" w:hAnsi="宋体" w:cs="宋体"/>
                <w:sz w:val="20"/>
                <w:szCs w:val="20"/>
                <w:lang w:val="en-US" w:eastAsia="zh-CN"/>
              </w:rPr>
              <w:t>；</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sz w:val="20"/>
                <w:szCs w:val="20"/>
                <w:lang w:val="en-US" w:eastAsia="zh-CN"/>
              </w:rPr>
              <w:t>4.5*230</w:t>
            </w:r>
            <w:r>
              <w:rPr>
                <w:rFonts w:hint="eastAsia" w:ascii="宋体" w:hAnsi="宋体" w:cs="宋体"/>
                <w:sz w:val="20"/>
                <w:szCs w:val="20"/>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要求无菌包装。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金属骨针（钛针）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天津正天医疗器械有限公司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1.0*300；</w:t>
            </w:r>
          </w:p>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1.5*300；</w:t>
            </w:r>
          </w:p>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2.0*300；</w:t>
            </w:r>
          </w:p>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2.5*300；</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sz w:val="20"/>
                <w:szCs w:val="20"/>
                <w:lang w:val="en-US" w:eastAsia="zh-CN"/>
              </w:rPr>
              <w:t>3.0*300；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要求骨针两端都为尖头。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肌腱防粘连膜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天新福（北京）医疗器材股份有限公司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JI20*20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2593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肌腱防粘连膜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天新福（北京）医疗器材股份有限公司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JI40*30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不可吸收带线锚钉</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北京中安泰华科技有限公司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MDD01/2.0两根3-0号缝线 MDD01/3.5两根2号缝线 MDD01/5.0两根2号缝线</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冲吸式消融电极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医度健康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SS-ZJ01、SS-ZJ02、SS-ZJ03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一次性使用圈套器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南通华利康医疗器械有限公司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Q-3013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vert="horz" wrap="square" anchor="t" anchorCtr="0"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vert="horz" wrap="square" anchor="t" anchorCtr="0"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8w8d2dcAAAAHAQAADwAAAAAAAAABACAA&#10;AAAiAAAAZHJzL2Rvd25yZXYueG1sUEsBAhQAFAAAAAgAh07iQPiaYmu5AgAANwgAAA4AAAAAAAAA&#10;AQAgAAAAJgEAAGRycy9lMm9Eb2MueG1sUEsFBgAAAAAGAAYAWQEAAFE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vert="horz" wrap="square" anchor="t" anchorCtr="0"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vert="horz" wrap="square" anchor="t" anchorCtr="0"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JhJKaTZAAAACAEAAA8AAAAAAAAA&#10;AQAgAAAAIgAAAGRycy9kb3ducmV2LnhtbFBLAQIUABQAAAAIAIdO4kASc8rxuwIAADcIAAAOAAAA&#10;AAAAAAEAIAAAACgBAABkcnMvZTJvRG9jLnhtbFBLBQYAAAAABgAGAFkBAABV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采购项目（十二）</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12</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LHZXYY-XYHC-2023-12</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采购项目（十二）</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12</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2A87DD2"/>
    <w:rsid w:val="02D536F9"/>
    <w:rsid w:val="03241D96"/>
    <w:rsid w:val="034309DD"/>
    <w:rsid w:val="04BB1D35"/>
    <w:rsid w:val="04BC3C04"/>
    <w:rsid w:val="04F45ECD"/>
    <w:rsid w:val="078F24AF"/>
    <w:rsid w:val="07EF2560"/>
    <w:rsid w:val="07EF46DA"/>
    <w:rsid w:val="09365842"/>
    <w:rsid w:val="095F2D63"/>
    <w:rsid w:val="096F7DC3"/>
    <w:rsid w:val="099734A3"/>
    <w:rsid w:val="09D56921"/>
    <w:rsid w:val="0A447D68"/>
    <w:rsid w:val="0B0C0CBB"/>
    <w:rsid w:val="0B4A478E"/>
    <w:rsid w:val="0B6108AF"/>
    <w:rsid w:val="0C8D47C2"/>
    <w:rsid w:val="0CC646E6"/>
    <w:rsid w:val="0D8D29CB"/>
    <w:rsid w:val="0E593567"/>
    <w:rsid w:val="0F8317BD"/>
    <w:rsid w:val="10435315"/>
    <w:rsid w:val="10C06C14"/>
    <w:rsid w:val="1288116E"/>
    <w:rsid w:val="13345697"/>
    <w:rsid w:val="15433117"/>
    <w:rsid w:val="158B596F"/>
    <w:rsid w:val="15B05167"/>
    <w:rsid w:val="16821794"/>
    <w:rsid w:val="16E159B6"/>
    <w:rsid w:val="18E137F3"/>
    <w:rsid w:val="192518EC"/>
    <w:rsid w:val="1A7647E7"/>
    <w:rsid w:val="1B904522"/>
    <w:rsid w:val="1B980F3B"/>
    <w:rsid w:val="1BEF3F11"/>
    <w:rsid w:val="1CE32891"/>
    <w:rsid w:val="1D230C56"/>
    <w:rsid w:val="1D997423"/>
    <w:rsid w:val="1E774C45"/>
    <w:rsid w:val="20163D63"/>
    <w:rsid w:val="204C0134"/>
    <w:rsid w:val="20A4360F"/>
    <w:rsid w:val="220B397A"/>
    <w:rsid w:val="22752E64"/>
    <w:rsid w:val="23101A50"/>
    <w:rsid w:val="23360B3D"/>
    <w:rsid w:val="235065E9"/>
    <w:rsid w:val="23A35AC0"/>
    <w:rsid w:val="24E101D1"/>
    <w:rsid w:val="251F4F14"/>
    <w:rsid w:val="25553977"/>
    <w:rsid w:val="25874E29"/>
    <w:rsid w:val="274549CC"/>
    <w:rsid w:val="27467DDF"/>
    <w:rsid w:val="27AF06B2"/>
    <w:rsid w:val="28E04C85"/>
    <w:rsid w:val="2AB87E81"/>
    <w:rsid w:val="2ADD3C0D"/>
    <w:rsid w:val="2B571DC8"/>
    <w:rsid w:val="2B92239A"/>
    <w:rsid w:val="2D1A1DE7"/>
    <w:rsid w:val="2E831F4B"/>
    <w:rsid w:val="2E8D6FE7"/>
    <w:rsid w:val="2ED20A5D"/>
    <w:rsid w:val="2F3A3D3C"/>
    <w:rsid w:val="2F877C60"/>
    <w:rsid w:val="307965D2"/>
    <w:rsid w:val="30D1150B"/>
    <w:rsid w:val="312020C7"/>
    <w:rsid w:val="31371E51"/>
    <w:rsid w:val="32F742BF"/>
    <w:rsid w:val="337F6E52"/>
    <w:rsid w:val="33980F25"/>
    <w:rsid w:val="34425A0E"/>
    <w:rsid w:val="34B87D8D"/>
    <w:rsid w:val="354546B1"/>
    <w:rsid w:val="35613996"/>
    <w:rsid w:val="36357C3B"/>
    <w:rsid w:val="37AA40C2"/>
    <w:rsid w:val="37CC094C"/>
    <w:rsid w:val="37F32AA8"/>
    <w:rsid w:val="38995E18"/>
    <w:rsid w:val="38E72296"/>
    <w:rsid w:val="3A3F1290"/>
    <w:rsid w:val="3AC61DB7"/>
    <w:rsid w:val="3B365BA1"/>
    <w:rsid w:val="3BAC26EF"/>
    <w:rsid w:val="3BAD3B3F"/>
    <w:rsid w:val="3C442F4E"/>
    <w:rsid w:val="3D2D4B0C"/>
    <w:rsid w:val="3D872A51"/>
    <w:rsid w:val="3DEF61C7"/>
    <w:rsid w:val="3F8E13C3"/>
    <w:rsid w:val="3FD610BB"/>
    <w:rsid w:val="40013D8E"/>
    <w:rsid w:val="40531FA6"/>
    <w:rsid w:val="40C2384C"/>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E5404D"/>
    <w:rsid w:val="4BE74B88"/>
    <w:rsid w:val="4D060E28"/>
    <w:rsid w:val="4D0A51FD"/>
    <w:rsid w:val="4D5B12F4"/>
    <w:rsid w:val="4D8F4E9A"/>
    <w:rsid w:val="4EAD187E"/>
    <w:rsid w:val="4ECA418C"/>
    <w:rsid w:val="4FBB1F83"/>
    <w:rsid w:val="503841C0"/>
    <w:rsid w:val="50425543"/>
    <w:rsid w:val="53146A66"/>
    <w:rsid w:val="534A62BA"/>
    <w:rsid w:val="53C00CB0"/>
    <w:rsid w:val="54707D58"/>
    <w:rsid w:val="54805394"/>
    <w:rsid w:val="54BB7492"/>
    <w:rsid w:val="54DA7145"/>
    <w:rsid w:val="54FB77E7"/>
    <w:rsid w:val="5531151C"/>
    <w:rsid w:val="558A2919"/>
    <w:rsid w:val="558A2A21"/>
    <w:rsid w:val="55A62403"/>
    <w:rsid w:val="56C96783"/>
    <w:rsid w:val="574A08A6"/>
    <w:rsid w:val="5822279A"/>
    <w:rsid w:val="58775D4B"/>
    <w:rsid w:val="592E180D"/>
    <w:rsid w:val="593D5EF8"/>
    <w:rsid w:val="5AF82C61"/>
    <w:rsid w:val="5B4A1567"/>
    <w:rsid w:val="5B547043"/>
    <w:rsid w:val="5B9C5BD2"/>
    <w:rsid w:val="5C187D8C"/>
    <w:rsid w:val="5D8B3B88"/>
    <w:rsid w:val="5EA47900"/>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C44CF8"/>
    <w:rsid w:val="68E1689C"/>
    <w:rsid w:val="69E6588C"/>
    <w:rsid w:val="6A350974"/>
    <w:rsid w:val="6A4C4226"/>
    <w:rsid w:val="6AE6503B"/>
    <w:rsid w:val="6CC92C25"/>
    <w:rsid w:val="6CF40CBA"/>
    <w:rsid w:val="6D1877CD"/>
    <w:rsid w:val="6DDA2A8F"/>
    <w:rsid w:val="6E176CE4"/>
    <w:rsid w:val="6E930639"/>
    <w:rsid w:val="6E963C85"/>
    <w:rsid w:val="6F6A49F5"/>
    <w:rsid w:val="70F7785D"/>
    <w:rsid w:val="71367E6D"/>
    <w:rsid w:val="71713BD6"/>
    <w:rsid w:val="71924386"/>
    <w:rsid w:val="71CE58F0"/>
    <w:rsid w:val="71E556D5"/>
    <w:rsid w:val="73880040"/>
    <w:rsid w:val="73D84C02"/>
    <w:rsid w:val="743E4EE8"/>
    <w:rsid w:val="74822CE1"/>
    <w:rsid w:val="74A62F57"/>
    <w:rsid w:val="74BD38B3"/>
    <w:rsid w:val="74F31E31"/>
    <w:rsid w:val="75027525"/>
    <w:rsid w:val="751D4412"/>
    <w:rsid w:val="756020D7"/>
    <w:rsid w:val="75F84CBB"/>
    <w:rsid w:val="76276A6E"/>
    <w:rsid w:val="763C17C9"/>
    <w:rsid w:val="777D3C34"/>
    <w:rsid w:val="77BA20C7"/>
    <w:rsid w:val="781500F7"/>
    <w:rsid w:val="7831514A"/>
    <w:rsid w:val="7946709B"/>
    <w:rsid w:val="79D33BAE"/>
    <w:rsid w:val="7B413E46"/>
    <w:rsid w:val="7BDF7DFC"/>
    <w:rsid w:val="7C292C93"/>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12656</Words>
  <Characters>13458</Characters>
  <Lines>119</Lines>
  <Paragraphs>33</Paragraphs>
  <TotalTime>3</TotalTime>
  <ScaleCrop>false</ScaleCrop>
  <LinksUpToDate>false</LinksUpToDate>
  <CharactersWithSpaces>14047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-木木</cp:lastModifiedBy>
  <cp:lastPrinted>2023-03-14T07:28:00Z</cp:lastPrinted>
  <dcterms:modified xsi:type="dcterms:W3CDTF">2023-07-20T02:55:48Z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F3E5F37CA639477CBF31718917207A91_13</vt:lpwstr>
  </property>
</Properties>
</file>