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二十三</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23</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7ABB645A">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7</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800307"/>
      <w:bookmarkStart w:id="1" w:name="_Toc17799732"/>
      <w:bookmarkStart w:id="2" w:name="_Toc58354539"/>
      <w:bookmarkStart w:id="3" w:name="_Toc17799794"/>
      <w:bookmarkStart w:id="4" w:name="_Toc17800089"/>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二十三</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二十三</w:t>
      </w:r>
      <w:r>
        <w:rPr>
          <w:rFonts w:hint="eastAsia" w:ascii="宋体" w:hAnsi="宋体"/>
          <w:color w:val="auto"/>
          <w:sz w:val="21"/>
          <w:szCs w:val="21"/>
          <w:lang w:eastAsia="zh-CN"/>
        </w:rPr>
        <w:t>）</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4-23</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（3）必须具备所投各产品的授权书（不要求在现场报名时提供，但应答文件中应当提供加盖供应商公章的授权书复印件）；</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1B90C87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25</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7</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26</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50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26</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8</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5</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26</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9:00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97"/>
      <w:bookmarkStart w:id="12" w:name="_Toc17800092"/>
      <w:bookmarkStart w:id="13" w:name="_Toc17799735"/>
      <w:bookmarkStart w:id="14" w:name="_Toc17800310"/>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436"/>
        <w:gridCol w:w="1783"/>
        <w:gridCol w:w="1331"/>
        <w:gridCol w:w="735"/>
        <w:gridCol w:w="901"/>
        <w:gridCol w:w="966"/>
        <w:gridCol w:w="1263"/>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90A82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CE066D5">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8412017">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CC206E9">
            <w:pPr>
              <w:keepNext w:val="0"/>
              <w:keepLines w:val="0"/>
              <w:widowControl/>
              <w:suppressLineNumbers w:val="0"/>
              <w:jc w:val="left"/>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真空瓶</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327F61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德国麦迪帕克有限公司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016EA04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50100250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4058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适用于臭氧治疗仪HYPER-MEDOZON comfort</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B6F8C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一次性使用洗肠用具包</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0F58420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西班牙超越商贸有限公司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23D07E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162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适用于洗肠机Colon Hydroma comfort</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EEE99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睡眠呼吸记录仪</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3005A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飞利浦（中国）投资有限公司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7ADEC6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鼻气流导管（P1328）</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258</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适用于睡眠呼吸记录仪Alice NightOne</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CEBEC4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一次性使用换药盆</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A9C8D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扬州华越科技发展有限公司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0475E2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单只 腰型</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43B0C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哥</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45700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0.46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76C20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2E3E39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一次性使用换药盒</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FE479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江苏省长丰医疗实业有限公司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23EB671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方型</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0.38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2A0395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一次性清洁刷</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803C2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常州贺利氏微创医疗器械有限公司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5CFFD38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HM/CB-23-6060/20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2800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957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585D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0402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85D5EF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水气道刷</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23605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常州贺利氏微创医疗器械有限公司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3CA63D8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26F8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BE1CCB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D7B70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D23B0E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298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8029C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EAB5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FD144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一次性切口牵开固定器</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0AFA3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广州德脉医疗器械有限公司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1707E0C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DMQA150/160-150/250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F6665A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4B7CD0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4510A8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270.75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A524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3F7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E5EDB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E7D4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F9760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一次性切口牵开固定器</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4A7C7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广州德脉医疗器械有限公司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79DC5F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DMQA120/130-120/250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D0EF0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081C6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E0340A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270.75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C2715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406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112597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ADDA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32764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一次性使用圈套器</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631FD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南通华利康医疗器械有限公司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01339D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Q-3013</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5C42B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ED1E2A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440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AC0BE5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F9D42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2F3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6BAD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CEF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9DC03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直肠测压管</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F5FFC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张家港市华美医疗器械有限公司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143A8546">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CY-I型 3.3mm（F10)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DF716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9CB3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662BC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0C6FD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55E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38B0C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9E9B7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B408E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尿动力管</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FBC18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张家港市华美医疗器械有限公司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489886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2.3mm（F7）</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D3CA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15B74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05D89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428B1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101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AFE1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0F73B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469CE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尿动力学导管</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5FB39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LaborieMedicalTechnologiesCanadaULC</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7EE4CC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TUB500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6012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71067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48541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F58F7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B38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87D6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7F804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A47BF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活检针</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DB525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TSK</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20B62B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18G*200mm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3FD08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92026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AB826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4B7FD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bookmarkEnd w:id="15"/>
    </w:tbl>
    <w:p w14:paraId="432BE9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非医疗器械及消字号产品需在应答文件中提供产品标签及实物照片。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530AF4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14:paraId="1FEF14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2DCCA84B">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260A3D66">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33E9F0F9">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二十三</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23</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二十三</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LHZXYY-YYHC-2024-23</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763CAAA9">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25FC005">
      <w:pPr>
        <w:spacing w:line="360" w:lineRule="auto"/>
        <w:ind w:firstLine="420"/>
        <w:rPr>
          <w:rFonts w:ascii="宋体" w:hAnsi="宋体"/>
          <w:color w:val="auto"/>
          <w:sz w:val="24"/>
        </w:rPr>
      </w:pPr>
      <w:r>
        <w:rPr>
          <w:rFonts w:hint="eastAsia" w:ascii="宋体" w:hAnsi="宋体"/>
          <w:color w:val="auto"/>
          <w:sz w:val="24"/>
        </w:rPr>
        <w:t>邮政编码：　　　　　　　　　　　　　日期：</w:t>
      </w:r>
    </w:p>
    <w:p w14:paraId="0ACBF787">
      <w:pPr>
        <w:spacing w:line="360" w:lineRule="auto"/>
        <w:ind w:firstLine="480" w:firstLineChars="20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二十三</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23</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50BDF105">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14:paraId="20F5D37F">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679" w:type="dxa"/>
            <w:noWrap w:val="0"/>
            <w:vAlign w:val="center"/>
          </w:tcPr>
          <w:p w14:paraId="63F1BD96">
            <w:pPr>
              <w:jc w:val="center"/>
              <w:rPr>
                <w:rFonts w:hint="eastAsia"/>
                <w:b/>
                <w:bCs/>
                <w:color w:val="auto"/>
              </w:rPr>
            </w:pPr>
            <w:r>
              <w:rPr>
                <w:rFonts w:hint="eastAsia"/>
                <w:b/>
                <w:bCs/>
                <w:color w:val="auto"/>
              </w:rPr>
              <w:t>医用耗材名称</w:t>
            </w:r>
          </w:p>
        </w:tc>
        <w:tc>
          <w:tcPr>
            <w:tcW w:w="1530"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14:paraId="21453DA4">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14:paraId="57492A1E">
            <w:pPr>
              <w:jc w:val="center"/>
              <w:rPr>
                <w:rFonts w:hint="eastAsia"/>
                <w:b/>
                <w:bCs/>
                <w:color w:val="auto"/>
              </w:rPr>
            </w:pPr>
            <w:r>
              <w:rPr>
                <w:rFonts w:hint="eastAsia"/>
                <w:b/>
                <w:bCs/>
                <w:color w:val="auto"/>
              </w:rPr>
              <w:t>产品实际包装规格型号</w:t>
            </w:r>
          </w:p>
        </w:tc>
        <w:tc>
          <w:tcPr>
            <w:tcW w:w="750" w:type="dxa"/>
            <w:noWrap w:val="0"/>
            <w:vAlign w:val="center"/>
          </w:tcPr>
          <w:p w14:paraId="1CD2962E">
            <w:pPr>
              <w:jc w:val="center"/>
              <w:rPr>
                <w:b/>
                <w:bCs/>
                <w:color w:val="auto"/>
              </w:rPr>
            </w:pPr>
            <w:r>
              <w:rPr>
                <w:rFonts w:hint="eastAsia"/>
                <w:b/>
                <w:bCs/>
                <w:color w:val="auto"/>
              </w:rPr>
              <w:t>计量单位</w:t>
            </w:r>
          </w:p>
        </w:tc>
        <w:tc>
          <w:tcPr>
            <w:tcW w:w="1165" w:type="dxa"/>
            <w:noWrap w:val="0"/>
            <w:vAlign w:val="center"/>
          </w:tcPr>
          <w:p w14:paraId="17F5199D">
            <w:pPr>
              <w:jc w:val="center"/>
              <w:rPr>
                <w:rFonts w:hint="eastAsia"/>
                <w:b/>
                <w:bCs/>
                <w:color w:val="auto"/>
              </w:rPr>
            </w:pPr>
            <w:r>
              <w:rPr>
                <w:rFonts w:hint="eastAsia"/>
                <w:b/>
                <w:bCs/>
                <w:color w:val="auto"/>
              </w:rPr>
              <w:t>生产企业</w:t>
            </w:r>
          </w:p>
        </w:tc>
        <w:tc>
          <w:tcPr>
            <w:tcW w:w="1212" w:type="dxa"/>
            <w:noWrap w:val="0"/>
            <w:vAlign w:val="center"/>
          </w:tcPr>
          <w:p w14:paraId="7A16D84F">
            <w:pPr>
              <w:jc w:val="center"/>
              <w:rPr>
                <w:rFonts w:hint="eastAsia"/>
                <w:b/>
                <w:bCs/>
                <w:color w:val="auto"/>
              </w:rPr>
            </w:pPr>
            <w:r>
              <w:rPr>
                <w:rFonts w:hint="eastAsia"/>
                <w:b/>
                <w:bCs/>
                <w:color w:val="auto"/>
              </w:rPr>
              <w:t>产品包装规格</w:t>
            </w:r>
          </w:p>
        </w:tc>
        <w:tc>
          <w:tcPr>
            <w:tcW w:w="773" w:type="dxa"/>
            <w:noWrap w:val="0"/>
            <w:vAlign w:val="center"/>
          </w:tcPr>
          <w:p w14:paraId="0343A0EC">
            <w:pPr>
              <w:jc w:val="center"/>
              <w:rPr>
                <w:rFonts w:hint="eastAsia"/>
                <w:b/>
                <w:bCs/>
                <w:color w:val="auto"/>
              </w:rPr>
            </w:pPr>
            <w:r>
              <w:rPr>
                <w:rFonts w:hint="eastAsia"/>
                <w:b/>
                <w:bCs/>
                <w:color w:val="auto"/>
              </w:rPr>
              <w:t>单价（元）</w:t>
            </w:r>
          </w:p>
        </w:tc>
        <w:tc>
          <w:tcPr>
            <w:tcW w:w="819"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679" w:type="dxa"/>
            <w:noWrap w:val="0"/>
            <w:vAlign w:val="center"/>
          </w:tcPr>
          <w:p w14:paraId="51B4AF8C">
            <w:pPr>
              <w:tabs>
                <w:tab w:val="left" w:pos="540"/>
              </w:tabs>
              <w:spacing w:line="360" w:lineRule="auto"/>
              <w:jc w:val="center"/>
              <w:rPr>
                <w:rFonts w:ascii="Times New Roman" w:hAnsi="Times New Roman"/>
                <w:color w:val="auto"/>
                <w:sz w:val="24"/>
              </w:rPr>
            </w:pPr>
          </w:p>
        </w:tc>
        <w:tc>
          <w:tcPr>
            <w:tcW w:w="1530" w:type="dxa"/>
            <w:noWrap w:val="0"/>
            <w:vAlign w:val="center"/>
          </w:tcPr>
          <w:p w14:paraId="6AE2C237">
            <w:pPr>
              <w:tabs>
                <w:tab w:val="left" w:pos="548"/>
              </w:tabs>
              <w:spacing w:line="360" w:lineRule="auto"/>
              <w:jc w:val="center"/>
              <w:rPr>
                <w:rFonts w:ascii="Times New Roman" w:hAnsi="Times New Roman"/>
                <w:color w:val="auto"/>
                <w:sz w:val="24"/>
              </w:rPr>
            </w:pPr>
          </w:p>
        </w:tc>
        <w:tc>
          <w:tcPr>
            <w:tcW w:w="2387" w:type="dxa"/>
            <w:noWrap w:val="0"/>
            <w:vAlign w:val="center"/>
          </w:tcPr>
          <w:p w14:paraId="1B054144">
            <w:pPr>
              <w:tabs>
                <w:tab w:val="left" w:pos="548"/>
              </w:tabs>
              <w:spacing w:line="360" w:lineRule="auto"/>
              <w:jc w:val="center"/>
              <w:rPr>
                <w:rFonts w:ascii="Times New Roman" w:hAnsi="Times New Roman"/>
                <w:color w:val="auto"/>
                <w:sz w:val="24"/>
              </w:rPr>
            </w:pPr>
          </w:p>
        </w:tc>
        <w:tc>
          <w:tcPr>
            <w:tcW w:w="1719" w:type="dxa"/>
            <w:noWrap w:val="0"/>
            <w:vAlign w:val="center"/>
          </w:tcPr>
          <w:p w14:paraId="4CA8D4A6">
            <w:pPr>
              <w:tabs>
                <w:tab w:val="left" w:pos="548"/>
              </w:tabs>
              <w:spacing w:line="360" w:lineRule="auto"/>
              <w:jc w:val="center"/>
              <w:rPr>
                <w:rFonts w:ascii="Times New Roman" w:hAnsi="Times New Roman"/>
                <w:color w:val="auto"/>
                <w:sz w:val="24"/>
              </w:rPr>
            </w:pPr>
          </w:p>
        </w:tc>
        <w:tc>
          <w:tcPr>
            <w:tcW w:w="1835" w:type="dxa"/>
            <w:noWrap w:val="0"/>
            <w:vAlign w:val="center"/>
          </w:tcPr>
          <w:p w14:paraId="43CA0258">
            <w:pPr>
              <w:tabs>
                <w:tab w:val="left" w:pos="548"/>
              </w:tabs>
              <w:spacing w:line="360" w:lineRule="auto"/>
              <w:jc w:val="center"/>
              <w:rPr>
                <w:rFonts w:ascii="Times New Roman" w:hAnsi="Times New Roman"/>
                <w:color w:val="auto"/>
                <w:sz w:val="24"/>
              </w:rPr>
            </w:pPr>
          </w:p>
        </w:tc>
        <w:tc>
          <w:tcPr>
            <w:tcW w:w="750" w:type="dxa"/>
            <w:noWrap w:val="0"/>
            <w:vAlign w:val="center"/>
          </w:tcPr>
          <w:p w14:paraId="75177B87">
            <w:pPr>
              <w:jc w:val="center"/>
              <w:rPr>
                <w:rFonts w:hint="eastAsia"/>
                <w:color w:val="auto"/>
              </w:rPr>
            </w:pPr>
          </w:p>
        </w:tc>
        <w:tc>
          <w:tcPr>
            <w:tcW w:w="1165" w:type="dxa"/>
            <w:noWrap w:val="0"/>
            <w:vAlign w:val="center"/>
          </w:tcPr>
          <w:p w14:paraId="27EB74A8">
            <w:pPr>
              <w:jc w:val="center"/>
              <w:rPr>
                <w:color w:val="auto"/>
              </w:rPr>
            </w:pPr>
          </w:p>
        </w:tc>
        <w:tc>
          <w:tcPr>
            <w:tcW w:w="1212" w:type="dxa"/>
            <w:noWrap w:val="0"/>
            <w:vAlign w:val="center"/>
          </w:tcPr>
          <w:p w14:paraId="0206608C">
            <w:pPr>
              <w:tabs>
                <w:tab w:val="left" w:pos="548"/>
              </w:tabs>
              <w:spacing w:line="360" w:lineRule="auto"/>
              <w:jc w:val="center"/>
              <w:rPr>
                <w:rFonts w:ascii="Times New Roman" w:hAnsi="Times New Roman"/>
                <w:color w:val="auto"/>
                <w:sz w:val="24"/>
              </w:rPr>
            </w:pPr>
          </w:p>
        </w:tc>
        <w:tc>
          <w:tcPr>
            <w:tcW w:w="773" w:type="dxa"/>
            <w:noWrap w:val="0"/>
            <w:vAlign w:val="center"/>
          </w:tcPr>
          <w:p w14:paraId="6B296D67">
            <w:pPr>
              <w:tabs>
                <w:tab w:val="left" w:pos="548"/>
              </w:tabs>
              <w:spacing w:line="360" w:lineRule="auto"/>
              <w:jc w:val="center"/>
              <w:rPr>
                <w:rFonts w:ascii="Times New Roman" w:hAnsi="Times New Roman"/>
                <w:color w:val="auto"/>
                <w:sz w:val="24"/>
              </w:rPr>
            </w:pPr>
          </w:p>
        </w:tc>
        <w:tc>
          <w:tcPr>
            <w:tcW w:w="819"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679" w:type="dxa"/>
            <w:noWrap w:val="0"/>
            <w:vAlign w:val="center"/>
          </w:tcPr>
          <w:p w14:paraId="546BA40A">
            <w:pPr>
              <w:tabs>
                <w:tab w:val="left" w:pos="540"/>
              </w:tabs>
              <w:spacing w:line="360" w:lineRule="auto"/>
              <w:jc w:val="center"/>
              <w:rPr>
                <w:rFonts w:ascii="Times New Roman" w:hAnsi="Times New Roman"/>
                <w:color w:val="auto"/>
                <w:sz w:val="24"/>
              </w:rPr>
            </w:pPr>
          </w:p>
        </w:tc>
        <w:tc>
          <w:tcPr>
            <w:tcW w:w="1530" w:type="dxa"/>
            <w:noWrap w:val="0"/>
            <w:vAlign w:val="center"/>
          </w:tcPr>
          <w:p w14:paraId="70E646F8">
            <w:pPr>
              <w:tabs>
                <w:tab w:val="left" w:pos="548"/>
              </w:tabs>
              <w:spacing w:line="360" w:lineRule="auto"/>
              <w:jc w:val="center"/>
              <w:rPr>
                <w:rFonts w:ascii="Times New Roman" w:hAnsi="Times New Roman"/>
                <w:color w:val="auto"/>
                <w:sz w:val="24"/>
              </w:rPr>
            </w:pPr>
          </w:p>
        </w:tc>
        <w:tc>
          <w:tcPr>
            <w:tcW w:w="2387" w:type="dxa"/>
            <w:noWrap w:val="0"/>
            <w:vAlign w:val="center"/>
          </w:tcPr>
          <w:p w14:paraId="35858D54">
            <w:pPr>
              <w:tabs>
                <w:tab w:val="left" w:pos="548"/>
              </w:tabs>
              <w:spacing w:line="360" w:lineRule="auto"/>
              <w:jc w:val="center"/>
              <w:rPr>
                <w:rFonts w:ascii="Times New Roman" w:hAnsi="Times New Roman"/>
                <w:color w:val="auto"/>
                <w:sz w:val="24"/>
              </w:rPr>
            </w:pPr>
          </w:p>
        </w:tc>
        <w:tc>
          <w:tcPr>
            <w:tcW w:w="1719" w:type="dxa"/>
            <w:noWrap w:val="0"/>
            <w:vAlign w:val="center"/>
          </w:tcPr>
          <w:p w14:paraId="1D41B1D2">
            <w:pPr>
              <w:tabs>
                <w:tab w:val="left" w:pos="548"/>
              </w:tabs>
              <w:spacing w:line="360" w:lineRule="auto"/>
              <w:jc w:val="center"/>
              <w:rPr>
                <w:rFonts w:ascii="Times New Roman" w:hAnsi="Times New Roman"/>
                <w:color w:val="auto"/>
                <w:sz w:val="24"/>
              </w:rPr>
            </w:pPr>
          </w:p>
        </w:tc>
        <w:tc>
          <w:tcPr>
            <w:tcW w:w="1835" w:type="dxa"/>
            <w:noWrap w:val="0"/>
            <w:vAlign w:val="center"/>
          </w:tcPr>
          <w:p w14:paraId="7A0DD935">
            <w:pPr>
              <w:tabs>
                <w:tab w:val="left" w:pos="548"/>
              </w:tabs>
              <w:spacing w:line="360" w:lineRule="auto"/>
              <w:jc w:val="center"/>
              <w:rPr>
                <w:rFonts w:ascii="Times New Roman" w:hAnsi="Times New Roman"/>
                <w:color w:val="auto"/>
                <w:sz w:val="24"/>
              </w:rPr>
            </w:pPr>
          </w:p>
        </w:tc>
        <w:tc>
          <w:tcPr>
            <w:tcW w:w="750" w:type="dxa"/>
            <w:noWrap w:val="0"/>
            <w:vAlign w:val="center"/>
          </w:tcPr>
          <w:p w14:paraId="09140A1E">
            <w:pPr>
              <w:jc w:val="center"/>
              <w:rPr>
                <w:rFonts w:hint="eastAsia"/>
                <w:color w:val="auto"/>
              </w:rPr>
            </w:pPr>
          </w:p>
        </w:tc>
        <w:tc>
          <w:tcPr>
            <w:tcW w:w="1165" w:type="dxa"/>
            <w:noWrap w:val="0"/>
            <w:vAlign w:val="center"/>
          </w:tcPr>
          <w:p w14:paraId="18BA17AA">
            <w:pPr>
              <w:jc w:val="center"/>
              <w:rPr>
                <w:color w:val="auto"/>
              </w:rPr>
            </w:pPr>
          </w:p>
        </w:tc>
        <w:tc>
          <w:tcPr>
            <w:tcW w:w="1212" w:type="dxa"/>
            <w:noWrap w:val="0"/>
            <w:vAlign w:val="center"/>
          </w:tcPr>
          <w:p w14:paraId="19D76614">
            <w:pPr>
              <w:tabs>
                <w:tab w:val="left" w:pos="548"/>
              </w:tabs>
              <w:spacing w:line="360" w:lineRule="auto"/>
              <w:jc w:val="center"/>
              <w:rPr>
                <w:rFonts w:ascii="Times New Roman" w:hAnsi="Times New Roman"/>
                <w:color w:val="auto"/>
                <w:sz w:val="24"/>
              </w:rPr>
            </w:pPr>
          </w:p>
        </w:tc>
        <w:tc>
          <w:tcPr>
            <w:tcW w:w="773" w:type="dxa"/>
            <w:noWrap w:val="0"/>
            <w:vAlign w:val="center"/>
          </w:tcPr>
          <w:p w14:paraId="07ABE998">
            <w:pPr>
              <w:tabs>
                <w:tab w:val="left" w:pos="548"/>
              </w:tabs>
              <w:spacing w:line="360" w:lineRule="auto"/>
              <w:jc w:val="center"/>
              <w:rPr>
                <w:rFonts w:ascii="Times New Roman" w:hAnsi="Times New Roman"/>
                <w:color w:val="auto"/>
                <w:sz w:val="24"/>
              </w:rPr>
            </w:pPr>
          </w:p>
        </w:tc>
        <w:tc>
          <w:tcPr>
            <w:tcW w:w="819"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679" w:type="dxa"/>
            <w:noWrap w:val="0"/>
            <w:vAlign w:val="center"/>
          </w:tcPr>
          <w:p w14:paraId="7AD96834">
            <w:pPr>
              <w:tabs>
                <w:tab w:val="left" w:pos="540"/>
              </w:tabs>
              <w:spacing w:line="360" w:lineRule="auto"/>
              <w:jc w:val="center"/>
              <w:rPr>
                <w:rFonts w:ascii="Times New Roman" w:hAnsi="Times New Roman"/>
                <w:color w:val="auto"/>
                <w:sz w:val="24"/>
              </w:rPr>
            </w:pPr>
          </w:p>
        </w:tc>
        <w:tc>
          <w:tcPr>
            <w:tcW w:w="1530" w:type="dxa"/>
            <w:noWrap w:val="0"/>
            <w:vAlign w:val="center"/>
          </w:tcPr>
          <w:p w14:paraId="4D9360AD">
            <w:pPr>
              <w:tabs>
                <w:tab w:val="left" w:pos="548"/>
              </w:tabs>
              <w:spacing w:line="360" w:lineRule="auto"/>
              <w:jc w:val="center"/>
              <w:rPr>
                <w:rFonts w:ascii="Times New Roman" w:hAnsi="Times New Roman"/>
                <w:color w:val="auto"/>
                <w:sz w:val="24"/>
              </w:rPr>
            </w:pPr>
          </w:p>
        </w:tc>
        <w:tc>
          <w:tcPr>
            <w:tcW w:w="2387" w:type="dxa"/>
            <w:noWrap w:val="0"/>
            <w:vAlign w:val="center"/>
          </w:tcPr>
          <w:p w14:paraId="31FF0505">
            <w:pPr>
              <w:tabs>
                <w:tab w:val="left" w:pos="548"/>
              </w:tabs>
              <w:spacing w:line="360" w:lineRule="auto"/>
              <w:jc w:val="center"/>
              <w:rPr>
                <w:rFonts w:ascii="Times New Roman" w:hAnsi="Times New Roman"/>
                <w:color w:val="auto"/>
                <w:sz w:val="24"/>
              </w:rPr>
            </w:pPr>
          </w:p>
        </w:tc>
        <w:tc>
          <w:tcPr>
            <w:tcW w:w="1719" w:type="dxa"/>
            <w:noWrap w:val="0"/>
            <w:vAlign w:val="center"/>
          </w:tcPr>
          <w:p w14:paraId="36E87B11">
            <w:pPr>
              <w:tabs>
                <w:tab w:val="left" w:pos="548"/>
              </w:tabs>
              <w:spacing w:line="360" w:lineRule="auto"/>
              <w:jc w:val="center"/>
              <w:rPr>
                <w:rFonts w:ascii="Times New Roman" w:hAnsi="Times New Roman"/>
                <w:color w:val="auto"/>
                <w:sz w:val="24"/>
              </w:rPr>
            </w:pPr>
          </w:p>
        </w:tc>
        <w:tc>
          <w:tcPr>
            <w:tcW w:w="1835" w:type="dxa"/>
            <w:noWrap w:val="0"/>
            <w:vAlign w:val="center"/>
          </w:tcPr>
          <w:p w14:paraId="73CA09CE">
            <w:pPr>
              <w:tabs>
                <w:tab w:val="left" w:pos="548"/>
              </w:tabs>
              <w:spacing w:line="360" w:lineRule="auto"/>
              <w:jc w:val="center"/>
              <w:rPr>
                <w:rFonts w:ascii="Times New Roman" w:hAnsi="Times New Roman"/>
                <w:color w:val="auto"/>
                <w:sz w:val="24"/>
              </w:rPr>
            </w:pPr>
          </w:p>
        </w:tc>
        <w:tc>
          <w:tcPr>
            <w:tcW w:w="750" w:type="dxa"/>
            <w:noWrap w:val="0"/>
            <w:vAlign w:val="center"/>
          </w:tcPr>
          <w:p w14:paraId="31B33A56">
            <w:pPr>
              <w:jc w:val="center"/>
              <w:rPr>
                <w:rFonts w:hint="eastAsia"/>
                <w:color w:val="auto"/>
              </w:rPr>
            </w:pPr>
          </w:p>
        </w:tc>
        <w:tc>
          <w:tcPr>
            <w:tcW w:w="1165" w:type="dxa"/>
            <w:noWrap w:val="0"/>
            <w:vAlign w:val="center"/>
          </w:tcPr>
          <w:p w14:paraId="1D917A9A">
            <w:pPr>
              <w:jc w:val="center"/>
              <w:rPr>
                <w:color w:val="auto"/>
              </w:rPr>
            </w:pPr>
          </w:p>
        </w:tc>
        <w:tc>
          <w:tcPr>
            <w:tcW w:w="1212" w:type="dxa"/>
            <w:noWrap w:val="0"/>
            <w:vAlign w:val="center"/>
          </w:tcPr>
          <w:p w14:paraId="062F0DAA">
            <w:pPr>
              <w:tabs>
                <w:tab w:val="left" w:pos="548"/>
              </w:tabs>
              <w:spacing w:line="360" w:lineRule="auto"/>
              <w:jc w:val="center"/>
              <w:rPr>
                <w:rFonts w:ascii="Times New Roman" w:hAnsi="Times New Roman"/>
                <w:color w:val="auto"/>
                <w:sz w:val="24"/>
              </w:rPr>
            </w:pPr>
          </w:p>
        </w:tc>
        <w:tc>
          <w:tcPr>
            <w:tcW w:w="773" w:type="dxa"/>
            <w:noWrap w:val="0"/>
            <w:vAlign w:val="center"/>
          </w:tcPr>
          <w:p w14:paraId="63B9414B">
            <w:pPr>
              <w:tabs>
                <w:tab w:val="left" w:pos="548"/>
              </w:tabs>
              <w:spacing w:line="360" w:lineRule="auto"/>
              <w:jc w:val="center"/>
              <w:rPr>
                <w:rFonts w:ascii="Times New Roman" w:hAnsi="Times New Roman"/>
                <w:color w:val="auto"/>
                <w:sz w:val="24"/>
              </w:rPr>
            </w:pPr>
          </w:p>
        </w:tc>
        <w:tc>
          <w:tcPr>
            <w:tcW w:w="819"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70610777">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2597AD17">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B9758D"/>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AB407AD"/>
    <w:rsid w:val="0AC2613F"/>
    <w:rsid w:val="0B0C0CBB"/>
    <w:rsid w:val="0B4A478E"/>
    <w:rsid w:val="0B6108AF"/>
    <w:rsid w:val="0BF4199F"/>
    <w:rsid w:val="0C2518AB"/>
    <w:rsid w:val="0C2A3F33"/>
    <w:rsid w:val="0C8D47C2"/>
    <w:rsid w:val="0CC646E6"/>
    <w:rsid w:val="0D8D29CB"/>
    <w:rsid w:val="0D9A2597"/>
    <w:rsid w:val="0DBF0B79"/>
    <w:rsid w:val="0E593567"/>
    <w:rsid w:val="0E790AF9"/>
    <w:rsid w:val="0F13724E"/>
    <w:rsid w:val="0F511234"/>
    <w:rsid w:val="0F8317BD"/>
    <w:rsid w:val="10435315"/>
    <w:rsid w:val="105674B4"/>
    <w:rsid w:val="109515FE"/>
    <w:rsid w:val="10C06C14"/>
    <w:rsid w:val="1288116E"/>
    <w:rsid w:val="13345697"/>
    <w:rsid w:val="13360078"/>
    <w:rsid w:val="13C92A2E"/>
    <w:rsid w:val="14953C54"/>
    <w:rsid w:val="15433117"/>
    <w:rsid w:val="156C7ED1"/>
    <w:rsid w:val="158B596F"/>
    <w:rsid w:val="15B05167"/>
    <w:rsid w:val="15CF7422"/>
    <w:rsid w:val="164C5E5C"/>
    <w:rsid w:val="16821794"/>
    <w:rsid w:val="16B0708C"/>
    <w:rsid w:val="16E159B6"/>
    <w:rsid w:val="16F20BF9"/>
    <w:rsid w:val="1713427F"/>
    <w:rsid w:val="17232523"/>
    <w:rsid w:val="18E137F3"/>
    <w:rsid w:val="192518EC"/>
    <w:rsid w:val="1A7647E7"/>
    <w:rsid w:val="1AA93EB6"/>
    <w:rsid w:val="1AE8560C"/>
    <w:rsid w:val="1AF901C7"/>
    <w:rsid w:val="1B904522"/>
    <w:rsid w:val="1B980F3B"/>
    <w:rsid w:val="1BE4359C"/>
    <w:rsid w:val="1BEF3F11"/>
    <w:rsid w:val="1C747108"/>
    <w:rsid w:val="1CE32891"/>
    <w:rsid w:val="1D230C56"/>
    <w:rsid w:val="1D997423"/>
    <w:rsid w:val="1E2A695D"/>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134621"/>
    <w:rsid w:val="28E04C85"/>
    <w:rsid w:val="28F92CBF"/>
    <w:rsid w:val="29AA7515"/>
    <w:rsid w:val="2AA95298"/>
    <w:rsid w:val="2AB87E81"/>
    <w:rsid w:val="2AC76725"/>
    <w:rsid w:val="2ADD3C0D"/>
    <w:rsid w:val="2B2877F6"/>
    <w:rsid w:val="2B571DC8"/>
    <w:rsid w:val="2B92239A"/>
    <w:rsid w:val="2B942D1F"/>
    <w:rsid w:val="2CA62EC1"/>
    <w:rsid w:val="2D1A1DE7"/>
    <w:rsid w:val="2DB53D85"/>
    <w:rsid w:val="2E831F4B"/>
    <w:rsid w:val="2E8D6FE7"/>
    <w:rsid w:val="2ED20A5D"/>
    <w:rsid w:val="2F3A3D3C"/>
    <w:rsid w:val="2F877C60"/>
    <w:rsid w:val="307965D2"/>
    <w:rsid w:val="30D1150B"/>
    <w:rsid w:val="312020C7"/>
    <w:rsid w:val="31371E51"/>
    <w:rsid w:val="31EA3CE2"/>
    <w:rsid w:val="32756BD4"/>
    <w:rsid w:val="32CE221F"/>
    <w:rsid w:val="32F742BF"/>
    <w:rsid w:val="335D7BA5"/>
    <w:rsid w:val="337F6E52"/>
    <w:rsid w:val="33980F25"/>
    <w:rsid w:val="3437033E"/>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85242E"/>
    <w:rsid w:val="3BAC26EF"/>
    <w:rsid w:val="3BAD3B3F"/>
    <w:rsid w:val="3BB74FDC"/>
    <w:rsid w:val="3C442F4E"/>
    <w:rsid w:val="3C816151"/>
    <w:rsid w:val="3D2D4B0C"/>
    <w:rsid w:val="3D872A51"/>
    <w:rsid w:val="3DEF61C7"/>
    <w:rsid w:val="3F8E13C3"/>
    <w:rsid w:val="3F8E6EC1"/>
    <w:rsid w:val="3FD610BB"/>
    <w:rsid w:val="40013D8E"/>
    <w:rsid w:val="404E1454"/>
    <w:rsid w:val="40531FA6"/>
    <w:rsid w:val="40761DB1"/>
    <w:rsid w:val="40B86888"/>
    <w:rsid w:val="40C2384C"/>
    <w:rsid w:val="42416A1D"/>
    <w:rsid w:val="435267EA"/>
    <w:rsid w:val="43EA7C4E"/>
    <w:rsid w:val="44000F82"/>
    <w:rsid w:val="449E2BE4"/>
    <w:rsid w:val="44F97CF4"/>
    <w:rsid w:val="4562373F"/>
    <w:rsid w:val="457D04BF"/>
    <w:rsid w:val="4665444A"/>
    <w:rsid w:val="466D1179"/>
    <w:rsid w:val="467C15C9"/>
    <w:rsid w:val="46D12EDF"/>
    <w:rsid w:val="470143FE"/>
    <w:rsid w:val="47083DB4"/>
    <w:rsid w:val="47203ADC"/>
    <w:rsid w:val="47446DE7"/>
    <w:rsid w:val="476268A0"/>
    <w:rsid w:val="47A24FCC"/>
    <w:rsid w:val="491A279E"/>
    <w:rsid w:val="49332A4B"/>
    <w:rsid w:val="49CA05F6"/>
    <w:rsid w:val="4A8E77F0"/>
    <w:rsid w:val="4B0E0981"/>
    <w:rsid w:val="4B3F0E94"/>
    <w:rsid w:val="4B64095C"/>
    <w:rsid w:val="4B724E07"/>
    <w:rsid w:val="4BE5404D"/>
    <w:rsid w:val="4BE74B88"/>
    <w:rsid w:val="4C18369A"/>
    <w:rsid w:val="4D060E28"/>
    <w:rsid w:val="4D0A51FD"/>
    <w:rsid w:val="4D5B12F4"/>
    <w:rsid w:val="4D8F4E9A"/>
    <w:rsid w:val="4E7976EC"/>
    <w:rsid w:val="4E874BDD"/>
    <w:rsid w:val="4EA06D86"/>
    <w:rsid w:val="4EAD187E"/>
    <w:rsid w:val="4ECA418C"/>
    <w:rsid w:val="4F264CE0"/>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9C5BD2"/>
    <w:rsid w:val="5C187D8C"/>
    <w:rsid w:val="5CC07647"/>
    <w:rsid w:val="5D8B3B88"/>
    <w:rsid w:val="5DB3746D"/>
    <w:rsid w:val="5E686291"/>
    <w:rsid w:val="5EA47900"/>
    <w:rsid w:val="5EE65064"/>
    <w:rsid w:val="5F97635E"/>
    <w:rsid w:val="5F9A5E4E"/>
    <w:rsid w:val="6095259B"/>
    <w:rsid w:val="60FC0262"/>
    <w:rsid w:val="610F2BF3"/>
    <w:rsid w:val="6132414A"/>
    <w:rsid w:val="6142595A"/>
    <w:rsid w:val="615E5832"/>
    <w:rsid w:val="61C84EF5"/>
    <w:rsid w:val="620507F7"/>
    <w:rsid w:val="62104EDF"/>
    <w:rsid w:val="623D1B1E"/>
    <w:rsid w:val="62436594"/>
    <w:rsid w:val="628A41A8"/>
    <w:rsid w:val="63273904"/>
    <w:rsid w:val="63665A8C"/>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4A3B49"/>
    <w:rsid w:val="68C44CF8"/>
    <w:rsid w:val="68E1689C"/>
    <w:rsid w:val="69344241"/>
    <w:rsid w:val="69E6588C"/>
    <w:rsid w:val="6A25687E"/>
    <w:rsid w:val="6A350974"/>
    <w:rsid w:val="6A4C4226"/>
    <w:rsid w:val="6A60594D"/>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1F1477"/>
    <w:rsid w:val="76276A6E"/>
    <w:rsid w:val="763C17C9"/>
    <w:rsid w:val="773A6D2D"/>
    <w:rsid w:val="777D3C34"/>
    <w:rsid w:val="77842113"/>
    <w:rsid w:val="77BA20C7"/>
    <w:rsid w:val="781500F7"/>
    <w:rsid w:val="7831514A"/>
    <w:rsid w:val="78BA65A1"/>
    <w:rsid w:val="7946709B"/>
    <w:rsid w:val="79D33BAE"/>
    <w:rsid w:val="7AA31401"/>
    <w:rsid w:val="7B2A3451"/>
    <w:rsid w:val="7B413E46"/>
    <w:rsid w:val="7B421B96"/>
    <w:rsid w:val="7BDF7DFC"/>
    <w:rsid w:val="7C292C93"/>
    <w:rsid w:val="7C440408"/>
    <w:rsid w:val="7CA35A26"/>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12685</Words>
  <Characters>13430</Characters>
  <Lines>119</Lines>
  <Paragraphs>33</Paragraphs>
  <TotalTime>3</TotalTime>
  <ScaleCrop>false</ScaleCrop>
  <LinksUpToDate>false</LinksUpToDate>
  <CharactersWithSpaces>14014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2024-07-23T03:38:51Z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107E119B365448C5959E50B412A1CDC7_13</vt:lpwstr>
  </property>
</Properties>
</file>